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7E" w:rsidRPr="00F21AA7" w:rsidRDefault="00BB449F" w:rsidP="00F21AA7">
      <w:pPr>
        <w:jc w:val="center"/>
        <w:rPr>
          <w:b/>
        </w:rPr>
      </w:pPr>
      <w:r w:rsidRPr="00F21AA7">
        <w:rPr>
          <w:b/>
        </w:rPr>
        <w:t>Phụ lục</w:t>
      </w:r>
    </w:p>
    <w:p w:rsidR="00BB449F" w:rsidRPr="00F21AA7" w:rsidRDefault="00BB449F">
      <w:pPr>
        <w:rPr>
          <w:b/>
        </w:rPr>
      </w:pPr>
      <w:r w:rsidRPr="00F21AA7">
        <w:rPr>
          <w:b/>
        </w:rPr>
        <w:t>1. Chủ trương, đường lối của Đảng có liên quan đến dự thảo</w:t>
      </w:r>
    </w:p>
    <w:tbl>
      <w:tblPr>
        <w:tblStyle w:val="TableGrid"/>
        <w:tblW w:w="10065" w:type="dxa"/>
        <w:tblInd w:w="-318" w:type="dxa"/>
        <w:tblLook w:val="04A0"/>
      </w:tblPr>
      <w:tblGrid>
        <w:gridCol w:w="2411"/>
        <w:gridCol w:w="3402"/>
        <w:gridCol w:w="2410"/>
        <w:gridCol w:w="1842"/>
      </w:tblGrid>
      <w:tr w:rsidR="00BB449F" w:rsidTr="00E81761">
        <w:tc>
          <w:tcPr>
            <w:tcW w:w="2411" w:type="dxa"/>
          </w:tcPr>
          <w:p w:rsidR="00BB449F" w:rsidRPr="00F21AA7" w:rsidRDefault="00BB449F" w:rsidP="00BB449F">
            <w:pPr>
              <w:jc w:val="center"/>
              <w:rPr>
                <w:b/>
              </w:rPr>
            </w:pPr>
            <w:r w:rsidRPr="00F21AA7">
              <w:rPr>
                <w:b/>
              </w:rPr>
              <w:t>QUY ĐỊNH CỦA DỰ THẢO</w:t>
            </w:r>
          </w:p>
        </w:tc>
        <w:tc>
          <w:tcPr>
            <w:tcW w:w="3402" w:type="dxa"/>
          </w:tcPr>
          <w:p w:rsidR="00BB449F" w:rsidRPr="00F21AA7" w:rsidRDefault="00BB449F" w:rsidP="00BB449F">
            <w:pPr>
              <w:jc w:val="center"/>
              <w:rPr>
                <w:b/>
              </w:rPr>
            </w:pPr>
            <w:r w:rsidRPr="00F21AA7">
              <w:rPr>
                <w:b/>
              </w:rPr>
              <w:t>CHỦ TRƯƠNG, ĐƯỜNG LỐI CỦA ĐẢNG</w:t>
            </w:r>
          </w:p>
        </w:tc>
        <w:tc>
          <w:tcPr>
            <w:tcW w:w="2410" w:type="dxa"/>
          </w:tcPr>
          <w:p w:rsidR="00BB449F" w:rsidRPr="00F21AA7" w:rsidRDefault="00BB449F" w:rsidP="00BB449F">
            <w:pPr>
              <w:jc w:val="center"/>
              <w:rPr>
                <w:b/>
              </w:rPr>
            </w:pPr>
            <w:r w:rsidRPr="00F21AA7">
              <w:rPr>
                <w:b/>
              </w:rPr>
              <w:t>ĐÁNH GIÁ (Đã thể chế đầy đủ hoặc một phần)</w:t>
            </w:r>
          </w:p>
        </w:tc>
        <w:tc>
          <w:tcPr>
            <w:tcW w:w="1842" w:type="dxa"/>
          </w:tcPr>
          <w:p w:rsidR="00BB449F" w:rsidRPr="00F21AA7" w:rsidRDefault="00BB449F" w:rsidP="00BB449F">
            <w:pPr>
              <w:jc w:val="center"/>
              <w:rPr>
                <w:b/>
              </w:rPr>
            </w:pPr>
            <w:r w:rsidRPr="00F21AA7">
              <w:rPr>
                <w:b/>
              </w:rPr>
              <w:t>ĐỀ XUẤT XỬ LÝ</w:t>
            </w:r>
          </w:p>
        </w:tc>
      </w:tr>
      <w:tr w:rsidR="00BB449F" w:rsidTr="00E81761">
        <w:tc>
          <w:tcPr>
            <w:tcW w:w="2411" w:type="dxa"/>
          </w:tcPr>
          <w:p w:rsidR="00BB449F" w:rsidRDefault="00E04955" w:rsidP="00E04955">
            <w:pPr>
              <w:jc w:val="both"/>
            </w:pPr>
            <w:r>
              <w:t>Điều 5. Trách nhiệm của lực lượng Công an trong công tác bảo vệ an ninh, trật tự, an toàn khu vực trụ sở tiếp công dân của các cơ quan Đảng, Nhà nước</w:t>
            </w:r>
          </w:p>
        </w:tc>
        <w:tc>
          <w:tcPr>
            <w:tcW w:w="3402" w:type="dxa"/>
          </w:tcPr>
          <w:p w:rsidR="00BB449F" w:rsidRDefault="00E04955" w:rsidP="00E04955">
            <w:pPr>
              <w:jc w:val="both"/>
            </w:pPr>
            <w:r>
              <w:t xml:space="preserve">Tại tiểu mục 4. </w:t>
            </w:r>
            <w:r w:rsidRPr="007812BF">
              <w:t>Chỉ thị số 35-CT/TW ngày 26/5/2014 của Bộ Chính trị về tăng cường sự lãnh đạo của Đảng đối với công tác tiếp công dân, giải quyết khiếu nại, tố cáo</w:t>
            </w:r>
            <w:r>
              <w:t xml:space="preserve"> quy </w:t>
            </w:r>
            <w:r w:rsidRPr="00B330C4">
              <w:t>định</w:t>
            </w:r>
            <w:r w:rsidRPr="00E81761">
              <w:rPr>
                <w:i/>
              </w:rPr>
              <w:t xml:space="preserve"> “Công an các địa phương chủ động nắm tình hình, tham mưu cho cấp ủy, chính quyền ngăn chặn, làm thất bại âm mưu, thủ đoạn của các thế lực thù địch, các phần tử cơ hội chính trị lợi dụng tình hình khiếu kiện để chống phá ta; tăng cường bảo đảm an ninh, trật tự tại các trụ sở tiếp công dân; có biện pháp khắc phục tình trạng nhiều người liên kết lên Trung ương khiếu kiện”</w:t>
            </w:r>
            <w:r>
              <w:t>.</w:t>
            </w:r>
          </w:p>
        </w:tc>
        <w:tc>
          <w:tcPr>
            <w:tcW w:w="2410" w:type="dxa"/>
          </w:tcPr>
          <w:p w:rsidR="00BB449F" w:rsidRDefault="00E04955" w:rsidP="00F21AA7">
            <w:pPr>
              <w:jc w:val="center"/>
            </w:pPr>
            <w:r>
              <w:t>Đã thể hiện đầy đủ</w:t>
            </w:r>
          </w:p>
        </w:tc>
        <w:tc>
          <w:tcPr>
            <w:tcW w:w="1842" w:type="dxa"/>
          </w:tcPr>
          <w:p w:rsidR="00BB449F" w:rsidRDefault="00F21AA7" w:rsidP="00F21AA7">
            <w:pPr>
              <w:jc w:val="center"/>
            </w:pPr>
            <w:r>
              <w:t>Không</w:t>
            </w:r>
          </w:p>
        </w:tc>
      </w:tr>
    </w:tbl>
    <w:p w:rsidR="00BB449F" w:rsidRDefault="00BB449F"/>
    <w:p w:rsidR="00F21AA7" w:rsidRPr="00517660" w:rsidRDefault="00F21AA7">
      <w:pPr>
        <w:rPr>
          <w:b/>
        </w:rPr>
      </w:pPr>
      <w:r w:rsidRPr="00517660">
        <w:rPr>
          <w:b/>
        </w:rPr>
        <w:t>2. Văn bản quy phạm pháp luật có liên quan đến dự thảo</w:t>
      </w:r>
    </w:p>
    <w:tbl>
      <w:tblPr>
        <w:tblStyle w:val="TableGrid"/>
        <w:tblW w:w="10632" w:type="dxa"/>
        <w:tblInd w:w="-743" w:type="dxa"/>
        <w:tblLook w:val="04A0"/>
      </w:tblPr>
      <w:tblGrid>
        <w:gridCol w:w="2694"/>
        <w:gridCol w:w="4820"/>
        <w:gridCol w:w="1842"/>
        <w:gridCol w:w="1276"/>
      </w:tblGrid>
      <w:tr w:rsidR="00F21AA7" w:rsidTr="000B7AEB">
        <w:tc>
          <w:tcPr>
            <w:tcW w:w="2694" w:type="dxa"/>
          </w:tcPr>
          <w:p w:rsidR="00F21AA7" w:rsidRPr="00F21AA7" w:rsidRDefault="00F21AA7" w:rsidP="00F21AA7">
            <w:pPr>
              <w:jc w:val="center"/>
              <w:rPr>
                <w:b/>
              </w:rPr>
            </w:pPr>
            <w:r w:rsidRPr="00F21AA7">
              <w:rPr>
                <w:b/>
              </w:rPr>
              <w:t>QUY ĐỊNH CỦA DỰ THẢO VĂN BẢN</w:t>
            </w:r>
          </w:p>
        </w:tc>
        <w:tc>
          <w:tcPr>
            <w:tcW w:w="4820" w:type="dxa"/>
          </w:tcPr>
          <w:p w:rsidR="00F21AA7" w:rsidRPr="00F21AA7" w:rsidRDefault="00F21AA7" w:rsidP="00F21AA7">
            <w:pPr>
              <w:jc w:val="center"/>
              <w:rPr>
                <w:b/>
              </w:rPr>
            </w:pPr>
            <w:r w:rsidRPr="00F21AA7">
              <w:rPr>
                <w:b/>
              </w:rPr>
              <w:t>QUY ĐỊNH CỦA PHÁP LUẬT HIỆN HÀNH CÓ LIÊN QUAN</w:t>
            </w:r>
          </w:p>
        </w:tc>
        <w:tc>
          <w:tcPr>
            <w:tcW w:w="1842" w:type="dxa"/>
          </w:tcPr>
          <w:p w:rsidR="00F21AA7" w:rsidRPr="00F21AA7" w:rsidRDefault="00F21AA7" w:rsidP="00F21AA7">
            <w:pPr>
              <w:jc w:val="center"/>
              <w:rPr>
                <w:b/>
              </w:rPr>
            </w:pPr>
            <w:r w:rsidRPr="00F21AA7">
              <w:rPr>
                <w:b/>
              </w:rPr>
              <w:t>ĐÁNH GIÁ (Tính hợp hiến, hợp pháp, tính thống nhất)</w:t>
            </w:r>
          </w:p>
        </w:tc>
        <w:tc>
          <w:tcPr>
            <w:tcW w:w="1276" w:type="dxa"/>
          </w:tcPr>
          <w:p w:rsidR="00F21AA7" w:rsidRPr="00F21AA7" w:rsidRDefault="00F21AA7" w:rsidP="00F21AA7">
            <w:pPr>
              <w:jc w:val="center"/>
              <w:rPr>
                <w:b/>
              </w:rPr>
            </w:pPr>
            <w:r w:rsidRPr="00F21AA7">
              <w:rPr>
                <w:b/>
              </w:rPr>
              <w:t>ĐỀ XUẤT XỬ LÝ</w:t>
            </w:r>
          </w:p>
        </w:tc>
      </w:tr>
      <w:tr w:rsidR="00F21AA7" w:rsidTr="000B7AEB">
        <w:tc>
          <w:tcPr>
            <w:tcW w:w="2694" w:type="dxa"/>
          </w:tcPr>
          <w:p w:rsidR="00F21AA7" w:rsidRDefault="000B7AEB" w:rsidP="000B7AEB">
            <w:pPr>
              <w:jc w:val="both"/>
            </w:pPr>
            <w:r>
              <w:t>Chương I. Quy định chung. Nội dung cơ bản gồm: 02 Điều (Điều 1 và Điều 2) trong đó, quy định về phạm vi điều chỉnh, đối tượng áp dụng</w:t>
            </w:r>
          </w:p>
        </w:tc>
        <w:tc>
          <w:tcPr>
            <w:tcW w:w="4820" w:type="dxa"/>
          </w:tcPr>
          <w:p w:rsidR="000B7AEB" w:rsidRDefault="000B7AEB" w:rsidP="000B7AEB">
            <w:pPr>
              <w:spacing w:before="120" w:after="120" w:line="234" w:lineRule="atLeast"/>
              <w:jc w:val="both"/>
              <w:rPr>
                <w:rFonts w:eastAsia="Times New Roman"/>
                <w:bCs/>
                <w:color w:val="000000"/>
              </w:rPr>
            </w:pPr>
            <w:r>
              <w:rPr>
                <w:rFonts w:eastAsia="Times New Roman"/>
                <w:bCs/>
                <w:color w:val="000000"/>
              </w:rPr>
              <w:t>- Theo quy định của Luật Tiếp công dân năm 2013; Nghị định số 64/2014/NĐ-CP ngày 26/6/2014 quy định chi tiết thi hành một số điều của Luật Tiếp công dân.</w:t>
            </w:r>
          </w:p>
          <w:p w:rsidR="00F21AA7" w:rsidRDefault="00F21AA7" w:rsidP="000B7AEB"/>
        </w:tc>
        <w:tc>
          <w:tcPr>
            <w:tcW w:w="1842" w:type="dxa"/>
          </w:tcPr>
          <w:p w:rsidR="00F21AA7" w:rsidRDefault="000B7AEB" w:rsidP="000B7AEB">
            <w:pPr>
              <w:jc w:val="center"/>
            </w:pPr>
            <w:r>
              <w:t>Đảm bảo</w:t>
            </w:r>
          </w:p>
        </w:tc>
        <w:tc>
          <w:tcPr>
            <w:tcW w:w="1276" w:type="dxa"/>
          </w:tcPr>
          <w:p w:rsidR="00F21AA7" w:rsidRDefault="000B7AEB" w:rsidP="000B7AEB">
            <w:pPr>
              <w:jc w:val="center"/>
            </w:pPr>
            <w:r>
              <w:t>Không</w:t>
            </w:r>
          </w:p>
        </w:tc>
      </w:tr>
      <w:tr w:rsidR="00F21AA7" w:rsidTr="000B7AEB">
        <w:tc>
          <w:tcPr>
            <w:tcW w:w="2694" w:type="dxa"/>
          </w:tcPr>
          <w:p w:rsidR="00F21AA7" w:rsidRDefault="000B7AEB" w:rsidP="000B7AEB">
            <w:pPr>
              <w:jc w:val="both"/>
            </w:pPr>
            <w:r>
              <w:t xml:space="preserve">- Chương II. Những </w:t>
            </w:r>
            <w:r>
              <w:lastRenderedPageBreak/>
              <w:t xml:space="preserve">quy định cụ thể, gồm: 10 Điều (Từ Điều 3 đến Điều 12), trong đó, quy định cụ thể: </w:t>
            </w:r>
            <w:r w:rsidRPr="006A2049">
              <w:t xml:space="preserve">Công tác bảo vệ an ninh, trật tự, an toàn tại trụ sở tiếp công dân của các cơ quan Đảng, Nhà nước trên địa bàn thành phố Hải Phòng; Các biện pháp bảo vệ an ninh, trật tự, an toàn tại khu vực </w:t>
            </w:r>
            <w:r>
              <w:t xml:space="preserve">trụ sở </w:t>
            </w:r>
            <w:r w:rsidRPr="006A2049">
              <w:t xml:space="preserve">tiếp công dân của các cơ quan; Trách nhiệm của lực lượng Công an trong công tác bảo vệ an ninh, trật tự, an toàn khu vực trụ sở tiếp công dân của các cơ quan Đảng, Nhà nước; Trách nhiệm của Ban Tiếp công dân thành phố; Trách nhiệm của các cơ quan được giao quản lý trụ sở tiếp công dân cơ quan Đảng, Nhà nước; </w:t>
            </w:r>
            <w:r w:rsidRPr="006A2049">
              <w:rPr>
                <w:spacing w:val="-4"/>
              </w:rPr>
              <w:t xml:space="preserve">Trách nhiệm của các Sở, ban, ngành có liên quan trong công tác bảo đảm an ninh, trật tự, an toàn </w:t>
            </w:r>
            <w:r>
              <w:rPr>
                <w:spacing w:val="-4"/>
              </w:rPr>
              <w:t>khu vực</w:t>
            </w:r>
            <w:r w:rsidRPr="006A2049">
              <w:rPr>
                <w:spacing w:val="-4"/>
              </w:rPr>
              <w:t xml:space="preserve"> trụ sở tiếp công dân của các cơ quan Đảng, Nhà nước; </w:t>
            </w:r>
            <w:r w:rsidRPr="006A2049">
              <w:t xml:space="preserve">Trách nhiệm của UBND xã, phường, đặc khu; </w:t>
            </w:r>
            <w:r w:rsidRPr="006A2049">
              <w:rPr>
                <w:spacing w:val="-4"/>
              </w:rPr>
              <w:t xml:space="preserve">Trách nhiệm chấp hành các quy định về an ninh, trật tự, an toàn của công dân tại nơi tiếp công dân; </w:t>
            </w:r>
            <w:r w:rsidRPr="006A2049">
              <w:t xml:space="preserve">Chế </w:t>
            </w:r>
            <w:r w:rsidRPr="006A2049">
              <w:lastRenderedPageBreak/>
              <w:t>độ thông tin, báo cáo; Kinh phí thực hiện.</w:t>
            </w:r>
          </w:p>
        </w:tc>
        <w:tc>
          <w:tcPr>
            <w:tcW w:w="4820" w:type="dxa"/>
          </w:tcPr>
          <w:p w:rsidR="00B330C4" w:rsidRDefault="00B330C4" w:rsidP="000B7AEB">
            <w:pPr>
              <w:spacing w:before="120" w:after="120" w:line="234" w:lineRule="atLeast"/>
              <w:jc w:val="both"/>
              <w:rPr>
                <w:rFonts w:eastAsia="Times New Roman"/>
                <w:bCs/>
                <w:color w:val="000000"/>
              </w:rPr>
            </w:pPr>
            <w:r>
              <w:lastRenderedPageBreak/>
              <w:t xml:space="preserve">- Nội dung phù hợp với tiểu mục 4, </w:t>
            </w:r>
            <w:r w:rsidRPr="007812BF">
              <w:t xml:space="preserve">Chỉ </w:t>
            </w:r>
            <w:r w:rsidRPr="007812BF">
              <w:lastRenderedPageBreak/>
              <w:t>thị số 35-CT/TW ngày 26/5/2014 của Bộ Chính trị về tăng cường sự lãnh đạo của Đảng đối với công tác tiếp công dân, giải quyết khiếu nại, tố cáo</w:t>
            </w:r>
            <w:r>
              <w:t>.</w:t>
            </w:r>
          </w:p>
          <w:p w:rsidR="000B7AEB" w:rsidRDefault="000B7AEB" w:rsidP="000B7AEB">
            <w:pPr>
              <w:spacing w:before="120" w:after="120" w:line="234" w:lineRule="atLeast"/>
              <w:jc w:val="both"/>
              <w:rPr>
                <w:rFonts w:eastAsia="Times New Roman"/>
                <w:bCs/>
                <w:color w:val="000000"/>
              </w:rPr>
            </w:pPr>
            <w:r>
              <w:rPr>
                <w:rFonts w:eastAsia="Times New Roman"/>
                <w:bCs/>
                <w:color w:val="000000"/>
              </w:rPr>
              <w:t>- Luật Tiếp công dân năm 2013.</w:t>
            </w:r>
          </w:p>
          <w:p w:rsidR="000B7AEB" w:rsidRDefault="000B7AEB" w:rsidP="000B7AEB">
            <w:pPr>
              <w:spacing w:before="120" w:after="120" w:line="234" w:lineRule="atLeast"/>
              <w:jc w:val="both"/>
            </w:pPr>
            <w:r>
              <w:t>- Luật Khiếu nại ngày 11 tháng 11 năm 2011.</w:t>
            </w:r>
          </w:p>
          <w:p w:rsidR="000B7AEB" w:rsidRDefault="000B7AEB" w:rsidP="000B7AEB">
            <w:pPr>
              <w:spacing w:before="120" w:after="120" w:line="234" w:lineRule="atLeast"/>
              <w:jc w:val="both"/>
              <w:rPr>
                <w:rFonts w:eastAsia="Times New Roman"/>
                <w:bCs/>
                <w:color w:val="000000"/>
              </w:rPr>
            </w:pPr>
            <w:r>
              <w:t>- Luật Tố cáo ngày 12 tháng 6 năm 2018.</w:t>
            </w:r>
          </w:p>
          <w:p w:rsidR="000B7AEB" w:rsidRDefault="000B7AEB" w:rsidP="000B7AEB">
            <w:pPr>
              <w:spacing w:before="120" w:after="120" w:line="234" w:lineRule="atLeast"/>
              <w:jc w:val="both"/>
              <w:rPr>
                <w:rFonts w:eastAsia="Times New Roman"/>
                <w:bCs/>
                <w:color w:val="000000"/>
              </w:rPr>
            </w:pPr>
            <w:r>
              <w:rPr>
                <w:rFonts w:eastAsia="Times New Roman"/>
                <w:bCs/>
                <w:color w:val="000000"/>
              </w:rPr>
              <w:t>- Nghị định số 64/2014/NĐ-CP ngày 26/6/2014 quy định chi tiết thi hành một số điều của Luật Tiếp công dân.</w:t>
            </w:r>
          </w:p>
          <w:p w:rsidR="000B7AEB" w:rsidRDefault="000B7AEB" w:rsidP="000B7AEB">
            <w:pPr>
              <w:jc w:val="both"/>
            </w:pPr>
            <w:r>
              <w:t>- Nghị định số 38/2005/NĐ-CP ngày 18 tháng 3 năm 2005 của Chính phủ quy định một số biện pháp bảo đảm trật tự công cộng.</w:t>
            </w:r>
          </w:p>
          <w:p w:rsidR="000B7AEB" w:rsidRDefault="000B7AEB" w:rsidP="000B7AEB">
            <w:pPr>
              <w:jc w:val="both"/>
            </w:pPr>
            <w:r>
              <w:t xml:space="preserve">- </w:t>
            </w:r>
            <w:r w:rsidRPr="00A364C8">
              <w:rPr>
                <w:bCs/>
                <w:color w:val="000000"/>
              </w:rPr>
              <w:t>Nghị định số 09/2019/NĐ-CP ngày ngày 24 tháng 01 năm 2019 của Chính phủ quy định về chế độ báo cáo của cơ quan hành chính nhà nước</w:t>
            </w:r>
            <w:r>
              <w:rPr>
                <w:bCs/>
                <w:color w:val="000000"/>
              </w:rPr>
              <w:t>.</w:t>
            </w:r>
            <w:r>
              <w:t xml:space="preserve"> </w:t>
            </w:r>
          </w:p>
          <w:p w:rsidR="000B7AEB" w:rsidRDefault="000B7AEB" w:rsidP="000B7AEB">
            <w:pPr>
              <w:jc w:val="both"/>
            </w:pPr>
            <w:r>
              <w:t>- Thông tư số 09/2005/TT-BCA ngày 05 tháng 9 năm 2005 của Bộ Công an hướng dẫn thi hành một số điều của Nghị định số 38/2005/NĐ-CP ngày 18 tháng 3 năm 2005 của Chính phủ quy định một số biện pháp bảo đảm trật tự công cộng.</w:t>
            </w:r>
          </w:p>
          <w:p w:rsidR="000B7AEB" w:rsidRDefault="000B7AEB" w:rsidP="000B7AEB">
            <w:pPr>
              <w:jc w:val="both"/>
            </w:pPr>
            <w:r>
              <w:t>- Thông tư số 09/2025/TT-BCA ngày 25 tháng 02 năm 2025 của Bộ Công an quy định chức năng, nhiệm vụ, quyền hạn và tổ chức bộ máy của Công an tỉnh, thành phố trực thuộc trung ương.</w:t>
            </w:r>
          </w:p>
          <w:p w:rsidR="000B7AEB" w:rsidRDefault="000B7AEB" w:rsidP="000B7AEB">
            <w:pPr>
              <w:jc w:val="both"/>
            </w:pPr>
            <w:r>
              <w:t>- Thông tư số 10/2025/TT-BCA ngày 25 tháng 02 năm 2025 của Bộ Công an quy định chức năng, nhiệm vụ, quyền hạn và tổ chức bộ máy của Công an xã, phường, thị trấn.</w:t>
            </w:r>
          </w:p>
          <w:p w:rsidR="000B7AEB" w:rsidRDefault="000B7AEB" w:rsidP="000B7AEB">
            <w:pPr>
              <w:jc w:val="both"/>
              <w:rPr>
                <w:spacing w:val="-6"/>
              </w:rPr>
            </w:pPr>
            <w:r>
              <w:t xml:space="preserve">- </w:t>
            </w:r>
            <w:r w:rsidRPr="00A364C8">
              <w:rPr>
                <w:spacing w:val="-6"/>
              </w:rPr>
              <w:t>Thông tư số</w:t>
            </w:r>
            <w:r>
              <w:rPr>
                <w:spacing w:val="-6"/>
              </w:rPr>
              <w:t xml:space="preserve"> </w:t>
            </w:r>
            <w:r w:rsidRPr="00A364C8">
              <w:rPr>
                <w:spacing w:val="-6"/>
              </w:rPr>
              <w:t>02/2025/TT-TTCP ngày 25 tháng 6 năm 2025 của Thanh tra Chính phủ hướng dẫn thực hiện một số quy định thuộc lĩnh vực quản lý nhà nước của Thanh tra Chính phủ liên quan đến Chính quyền địa phương 02 cấp</w:t>
            </w:r>
            <w:r>
              <w:rPr>
                <w:spacing w:val="-6"/>
              </w:rPr>
              <w:t>.</w:t>
            </w:r>
          </w:p>
          <w:p w:rsidR="000B7AEB" w:rsidRDefault="000B7AEB" w:rsidP="000B7AEB">
            <w:pPr>
              <w:jc w:val="both"/>
            </w:pPr>
            <w:r>
              <w:rPr>
                <w:spacing w:val="-6"/>
              </w:rPr>
              <w:lastRenderedPageBreak/>
              <w:t xml:space="preserve">- </w:t>
            </w:r>
            <w:r w:rsidRPr="00A364C8">
              <w:t xml:space="preserve">Thông tư số 01/2024/TT-TTCP ngày </w:t>
            </w:r>
            <w:r>
              <w:t>20 tháng 01 năm 2024</w:t>
            </w:r>
            <w:r w:rsidRPr="00A364C8">
              <w:t xml:space="preserve"> của Thanh tra Chính phủ quy định chế độ báo cáo công tác thanh tra, tiếp công dân, giải quyết khiếu nại, tố cáo và phòng chống tham nhũng, tiêu cự</w:t>
            </w:r>
            <w:r>
              <w:t>c.</w:t>
            </w:r>
          </w:p>
          <w:p w:rsidR="00F21AA7" w:rsidRDefault="000B7AEB" w:rsidP="000B7AEB">
            <w:pPr>
              <w:jc w:val="both"/>
            </w:pPr>
            <w:r>
              <w:t>-</w:t>
            </w:r>
            <w:r>
              <w:rPr>
                <w:i/>
              </w:rPr>
              <w:t xml:space="preserve"> </w:t>
            </w:r>
            <w:r>
              <w:t>Thông tư số 04/2021/TT-TTCP ngày 01 tháng 10 năm 2021 của Thanh tra Chính phủ quy định quy trình tiếp công dân.</w:t>
            </w:r>
          </w:p>
        </w:tc>
        <w:tc>
          <w:tcPr>
            <w:tcW w:w="1842" w:type="dxa"/>
          </w:tcPr>
          <w:p w:rsidR="00F21AA7" w:rsidRDefault="00F21AA7"/>
        </w:tc>
        <w:tc>
          <w:tcPr>
            <w:tcW w:w="1276" w:type="dxa"/>
          </w:tcPr>
          <w:p w:rsidR="00F21AA7" w:rsidRDefault="00F21AA7"/>
        </w:tc>
      </w:tr>
      <w:tr w:rsidR="00306123" w:rsidTr="000B7AEB">
        <w:tc>
          <w:tcPr>
            <w:tcW w:w="2694" w:type="dxa"/>
          </w:tcPr>
          <w:p w:rsidR="00306123" w:rsidRDefault="00306123" w:rsidP="00306123">
            <w:pPr>
              <w:spacing w:line="259" w:lineRule="auto"/>
              <w:ind w:firstLine="34"/>
              <w:jc w:val="both"/>
            </w:pPr>
            <w:r>
              <w:lastRenderedPageBreak/>
              <w:t>Chương III. Tổ chức thực hiện: 01 Điều (Điều 13), trong đó, quy định trách nhiệm của các cơ quan, tổ chức, cá nhân và của Công an thành phố.</w:t>
            </w:r>
          </w:p>
        </w:tc>
        <w:tc>
          <w:tcPr>
            <w:tcW w:w="4820" w:type="dxa"/>
          </w:tcPr>
          <w:p w:rsidR="00306123" w:rsidRDefault="00306123" w:rsidP="00306123">
            <w:pPr>
              <w:spacing w:before="120" w:after="120" w:line="234" w:lineRule="atLeast"/>
              <w:jc w:val="both"/>
              <w:rPr>
                <w:rFonts w:eastAsia="Times New Roman"/>
                <w:bCs/>
                <w:color w:val="000000"/>
              </w:rPr>
            </w:pPr>
            <w:r>
              <w:rPr>
                <w:rFonts w:eastAsia="Times New Roman"/>
                <w:bCs/>
                <w:color w:val="000000"/>
              </w:rPr>
              <w:t>- Luật Tiếp công dân năm 2013.</w:t>
            </w:r>
          </w:p>
          <w:p w:rsidR="00306123" w:rsidRDefault="00306123" w:rsidP="00306123">
            <w:pPr>
              <w:spacing w:before="120" w:after="120" w:line="234" w:lineRule="atLeast"/>
              <w:jc w:val="both"/>
              <w:rPr>
                <w:rFonts w:eastAsia="Times New Roman"/>
                <w:bCs/>
                <w:color w:val="000000"/>
              </w:rPr>
            </w:pPr>
            <w:r>
              <w:rPr>
                <w:rFonts w:eastAsia="Times New Roman"/>
                <w:bCs/>
                <w:color w:val="000000"/>
              </w:rPr>
              <w:t>- Nghị định số 64/2014/NĐ-CP ngày 26/6/2014 quy định chi tiết thi hành một số điều của Luật Tiếp công dân.</w:t>
            </w:r>
          </w:p>
          <w:p w:rsidR="00306123" w:rsidRDefault="00306123" w:rsidP="00306123">
            <w:pPr>
              <w:jc w:val="both"/>
            </w:pPr>
            <w:r>
              <w:t>- Nghị định số 38/2005/NĐ-CP ngày 18 tháng 3 năm 2005 của Chính phủ quy định một số biện pháp bảo đảm trật tự công cộng.</w:t>
            </w:r>
          </w:p>
          <w:p w:rsidR="00306123" w:rsidRDefault="00306123" w:rsidP="00306123">
            <w:pPr>
              <w:jc w:val="both"/>
            </w:pPr>
            <w:r>
              <w:t>- Thông tư số 09/2005/TT-BCA ngày 05 tháng 9 năm 2005 của Bộ Công an hướng dẫn thi hành một số điều của Nghị định số 38/2005/NĐ-CP ngày 18 tháng 3 năm 2005 của Chính phủ quy định một số biện pháp bảo đảm trật tự công cộng.</w:t>
            </w:r>
          </w:p>
          <w:p w:rsidR="00306123" w:rsidRDefault="00306123" w:rsidP="00306123">
            <w:pPr>
              <w:jc w:val="both"/>
            </w:pPr>
            <w:r>
              <w:t>- Thông tư số 09/2025/TT-BCA ngày 25 tháng 02 năm 2025 của Bộ Công an quy định chức năng, nhiệm vụ, quyền hạn và tổ chức bộ máy của Công an tỉnh, thành phố trực thuộc trung ương.</w:t>
            </w:r>
          </w:p>
          <w:p w:rsidR="00306123" w:rsidRPr="00306123" w:rsidRDefault="00306123" w:rsidP="00306123">
            <w:pPr>
              <w:jc w:val="both"/>
            </w:pPr>
            <w:r>
              <w:t>- Thông tư số 10/2025/TT-BCA ngày 25 tháng 02 năm 2025 của Bộ Công an quy định chức năng, nhiệm vụ, quyền hạn và tổ chức bộ máy của Công an xã, phường, thị trấn.</w:t>
            </w:r>
          </w:p>
        </w:tc>
        <w:tc>
          <w:tcPr>
            <w:tcW w:w="1842" w:type="dxa"/>
          </w:tcPr>
          <w:p w:rsidR="00306123" w:rsidRDefault="00306123"/>
        </w:tc>
        <w:tc>
          <w:tcPr>
            <w:tcW w:w="1276" w:type="dxa"/>
          </w:tcPr>
          <w:p w:rsidR="00306123" w:rsidRDefault="00306123"/>
        </w:tc>
      </w:tr>
    </w:tbl>
    <w:p w:rsidR="00F21AA7" w:rsidRDefault="00F21AA7"/>
    <w:p w:rsidR="00F21AA7" w:rsidRPr="00517660" w:rsidRDefault="00F21AA7">
      <w:pPr>
        <w:rPr>
          <w:b/>
        </w:rPr>
      </w:pPr>
      <w:r w:rsidRPr="00517660">
        <w:rPr>
          <w:b/>
        </w:rPr>
        <w:t>3.</w:t>
      </w:r>
      <w:r w:rsidR="00517660" w:rsidRPr="00517660">
        <w:rPr>
          <w:b/>
        </w:rPr>
        <w:t xml:space="preserve"> Điều ước quốc tế có liên quan đến dự thảo</w:t>
      </w:r>
    </w:p>
    <w:tbl>
      <w:tblPr>
        <w:tblStyle w:val="TableGrid"/>
        <w:tblW w:w="10065" w:type="dxa"/>
        <w:tblInd w:w="-318" w:type="dxa"/>
        <w:tblLook w:val="04A0"/>
      </w:tblPr>
      <w:tblGrid>
        <w:gridCol w:w="2411"/>
        <w:gridCol w:w="3260"/>
        <w:gridCol w:w="2552"/>
        <w:gridCol w:w="1842"/>
      </w:tblGrid>
      <w:tr w:rsidR="00517660" w:rsidTr="00517660">
        <w:tc>
          <w:tcPr>
            <w:tcW w:w="2411" w:type="dxa"/>
          </w:tcPr>
          <w:p w:rsidR="00517660" w:rsidRPr="00517660" w:rsidRDefault="00517660" w:rsidP="00517660">
            <w:pPr>
              <w:jc w:val="center"/>
              <w:rPr>
                <w:b/>
              </w:rPr>
            </w:pPr>
            <w:r w:rsidRPr="00517660">
              <w:rPr>
                <w:b/>
              </w:rPr>
              <w:t>QUY ĐỊNH CỦA DỰ THẢO VĂN BẢN</w:t>
            </w:r>
          </w:p>
        </w:tc>
        <w:tc>
          <w:tcPr>
            <w:tcW w:w="3260" w:type="dxa"/>
          </w:tcPr>
          <w:p w:rsidR="00517660" w:rsidRPr="00517660" w:rsidRDefault="00517660" w:rsidP="00517660">
            <w:pPr>
              <w:jc w:val="center"/>
              <w:rPr>
                <w:b/>
              </w:rPr>
            </w:pPr>
            <w:r w:rsidRPr="00517660">
              <w:rPr>
                <w:b/>
              </w:rPr>
              <w:t>QUY ĐỊNH CỦA ĐIỀU ƯỚC QUỐC TẾ CÓ LIÊN QUAN</w:t>
            </w:r>
          </w:p>
        </w:tc>
        <w:tc>
          <w:tcPr>
            <w:tcW w:w="2552" w:type="dxa"/>
          </w:tcPr>
          <w:p w:rsidR="00517660" w:rsidRPr="00517660" w:rsidRDefault="00517660" w:rsidP="00517660">
            <w:pPr>
              <w:jc w:val="center"/>
              <w:rPr>
                <w:b/>
              </w:rPr>
            </w:pPr>
            <w:r w:rsidRPr="00517660">
              <w:rPr>
                <w:b/>
              </w:rPr>
              <w:t>ĐÁNH GIÁ (Tính tương thích)</w:t>
            </w:r>
          </w:p>
        </w:tc>
        <w:tc>
          <w:tcPr>
            <w:tcW w:w="1842" w:type="dxa"/>
          </w:tcPr>
          <w:p w:rsidR="00517660" w:rsidRPr="00517660" w:rsidRDefault="00517660" w:rsidP="00517660">
            <w:pPr>
              <w:jc w:val="center"/>
              <w:rPr>
                <w:b/>
              </w:rPr>
            </w:pPr>
            <w:r w:rsidRPr="00517660">
              <w:rPr>
                <w:b/>
              </w:rPr>
              <w:t>ĐỀ XUẤT XỬ LÝ</w:t>
            </w:r>
          </w:p>
        </w:tc>
      </w:tr>
      <w:tr w:rsidR="00517660" w:rsidTr="00517660">
        <w:tc>
          <w:tcPr>
            <w:tcW w:w="2411" w:type="dxa"/>
          </w:tcPr>
          <w:p w:rsidR="00517660" w:rsidRDefault="00517660" w:rsidP="00517660">
            <w:pPr>
              <w:jc w:val="center"/>
            </w:pPr>
            <w:r>
              <w:t>Không</w:t>
            </w:r>
          </w:p>
        </w:tc>
        <w:tc>
          <w:tcPr>
            <w:tcW w:w="3260" w:type="dxa"/>
          </w:tcPr>
          <w:p w:rsidR="00517660" w:rsidRDefault="00517660" w:rsidP="00517660">
            <w:pPr>
              <w:jc w:val="center"/>
            </w:pPr>
            <w:r>
              <w:t>Không</w:t>
            </w:r>
          </w:p>
        </w:tc>
        <w:tc>
          <w:tcPr>
            <w:tcW w:w="2552" w:type="dxa"/>
          </w:tcPr>
          <w:p w:rsidR="00517660" w:rsidRDefault="00517660" w:rsidP="00517660">
            <w:pPr>
              <w:jc w:val="center"/>
            </w:pPr>
            <w:r>
              <w:t>Không</w:t>
            </w:r>
          </w:p>
        </w:tc>
        <w:tc>
          <w:tcPr>
            <w:tcW w:w="1842" w:type="dxa"/>
          </w:tcPr>
          <w:p w:rsidR="00517660" w:rsidRDefault="00517660" w:rsidP="00517660">
            <w:pPr>
              <w:jc w:val="center"/>
            </w:pPr>
            <w:r>
              <w:t>Không</w:t>
            </w:r>
          </w:p>
        </w:tc>
      </w:tr>
    </w:tbl>
    <w:p w:rsidR="00517660" w:rsidRDefault="00517660"/>
    <w:sectPr w:rsidR="00517660" w:rsidSect="00B8194E">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compat/>
  <w:rsids>
    <w:rsidRoot w:val="00B8194E"/>
    <w:rsid w:val="000B7AEB"/>
    <w:rsid w:val="00306123"/>
    <w:rsid w:val="00517660"/>
    <w:rsid w:val="006944AC"/>
    <w:rsid w:val="00740BE4"/>
    <w:rsid w:val="007D283F"/>
    <w:rsid w:val="00867A67"/>
    <w:rsid w:val="008F1086"/>
    <w:rsid w:val="00936B7E"/>
    <w:rsid w:val="00B330C4"/>
    <w:rsid w:val="00B8194E"/>
    <w:rsid w:val="00BB449F"/>
    <w:rsid w:val="00D36474"/>
    <w:rsid w:val="00DB0CEB"/>
    <w:rsid w:val="00E04955"/>
    <w:rsid w:val="00E27A30"/>
    <w:rsid w:val="00E81761"/>
    <w:rsid w:val="00EF2E91"/>
    <w:rsid w:val="00F21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4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2025-11-06T04:36:00Z</cp:lastPrinted>
  <dcterms:created xsi:type="dcterms:W3CDTF">2025-11-06T02:55:00Z</dcterms:created>
  <dcterms:modified xsi:type="dcterms:W3CDTF">2025-11-12T04:33:00Z</dcterms:modified>
</cp:coreProperties>
</file>